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36" w:rsidRDefault="00F30136" w:rsidP="007033F1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0136" w:rsidRDefault="004D2396" w:rsidP="00F665F7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pt;visibility:visible">
            <v:imagedata r:id="rId8" o:title=""/>
          </v:shape>
        </w:pic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F30136" w:rsidRDefault="00F30136" w:rsidP="005B5B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0136" w:rsidRPr="005B5BFF" w:rsidRDefault="000E275C" w:rsidP="005B5B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="00F30136"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:rsidR="00F30136" w:rsidRPr="005B5BFF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 w:rsidR="001443C4">
        <w:rPr>
          <w:rFonts w:ascii="Times New Roman" w:hAnsi="Times New Roman" w:cs="Times New Roman"/>
          <w:sz w:val="28"/>
          <w:szCs w:val="28"/>
        </w:rPr>
        <w:t>Сервис, т</w:t>
      </w:r>
      <w:r>
        <w:rPr>
          <w:rFonts w:ascii="Times New Roman" w:hAnsi="Times New Roman" w:cs="Times New Roman"/>
          <w:sz w:val="28"/>
          <w:szCs w:val="28"/>
        </w:rPr>
        <w:t>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Музееведение</w:t>
      </w: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F30136" w:rsidRPr="00F07428" w:rsidRDefault="002573EA" w:rsidP="00F665F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2023</w:t>
      </w:r>
      <w:bookmarkStart w:id="0" w:name="_GoBack"/>
      <w:bookmarkEnd w:id="0"/>
    </w:p>
    <w:p w:rsidR="00F30136" w:rsidRDefault="00F30136" w:rsidP="00313A8B">
      <w:pPr>
        <w:pStyle w:val="a3"/>
        <w:shd w:val="clear" w:color="auto" w:fill="FFFFFF"/>
        <w:ind w:left="927"/>
        <w:rPr>
          <w:b/>
          <w:bCs/>
          <w:color w:val="000000"/>
          <w:sz w:val="24"/>
          <w:szCs w:val="24"/>
        </w:rPr>
      </w:pPr>
      <w:r w:rsidRPr="00AB5AC7">
        <w:rPr>
          <w:b/>
          <w:bCs/>
          <w:color w:val="000000"/>
          <w:sz w:val="24"/>
          <w:szCs w:val="24"/>
        </w:rPr>
        <w:lastRenderedPageBreak/>
        <w:t>ОБЩИЕ ПОЛОЖЕНИЯ</w:t>
      </w:r>
    </w:p>
    <w:p w:rsidR="00F30136" w:rsidRPr="00AB5AC7" w:rsidRDefault="00F30136" w:rsidP="00AB5AC7">
      <w:pPr>
        <w:pStyle w:val="a3"/>
        <w:shd w:val="clear" w:color="auto" w:fill="FFFFFF"/>
        <w:ind w:left="0"/>
        <w:rPr>
          <w:b/>
          <w:bCs/>
          <w:color w:val="000000"/>
          <w:sz w:val="24"/>
          <w:szCs w:val="24"/>
        </w:rPr>
      </w:pPr>
    </w:p>
    <w:p w:rsidR="00F30136" w:rsidRPr="00AB5AC7" w:rsidRDefault="00F30136" w:rsidP="00AB5AC7">
      <w:pPr>
        <w:pStyle w:val="a3"/>
        <w:shd w:val="clear" w:color="auto" w:fill="FFFFFF"/>
        <w:ind w:left="0" w:firstLine="567"/>
        <w:jc w:val="both"/>
        <w:rPr>
          <w:sz w:val="24"/>
          <w:szCs w:val="24"/>
        </w:rPr>
      </w:pPr>
      <w:r w:rsidRPr="00AB5AC7">
        <w:rPr>
          <w:color w:val="000000"/>
          <w:sz w:val="24"/>
          <w:szCs w:val="24"/>
        </w:rPr>
        <w:t>Контрольная работа выполняется студентами заочной формы обучения и преследует следующие цели:</w:t>
      </w:r>
    </w:p>
    <w:p w:rsidR="00F30136" w:rsidRPr="00F07428" w:rsidRDefault="00F30136" w:rsidP="00AB5A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- развивать способность студента к анализу учебной и нормативной литературы;</w:t>
      </w:r>
    </w:p>
    <w:p w:rsidR="00F30136" w:rsidRDefault="00F3013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вырабатывать</w:t>
      </w:r>
      <w:r w:rsidRPr="00F07428">
        <w:rPr>
          <w:rFonts w:ascii="Times New Roman" w:hAnsi="Times New Roman" w:cs="Times New Roman"/>
          <w:color w:val="000000"/>
          <w:sz w:val="24"/>
          <w:szCs w:val="24"/>
        </w:rPr>
        <w:t xml:space="preserve"> умение систематизировать и обобщать научный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0136" w:rsidRDefault="00F30136" w:rsidP="00007A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sz w:val="28"/>
          <w:szCs w:val="28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Работа должна быть выполнена самостоятельно, осмысленно, а не путем механического переписывания первоисточников.</w:t>
      </w:r>
      <w:r>
        <w:rPr>
          <w:sz w:val="28"/>
          <w:szCs w:val="28"/>
        </w:rPr>
        <w:t xml:space="preserve"> </w:t>
      </w:r>
    </w:p>
    <w:p w:rsidR="006140DF" w:rsidRPr="006140DF" w:rsidRDefault="006140DF" w:rsidP="00007A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6140DF">
        <w:rPr>
          <w:rFonts w:ascii="Times New Roman" w:hAnsi="Times New Roman" w:cs="Times New Roman"/>
          <w:sz w:val="24"/>
          <w:szCs w:val="24"/>
        </w:rPr>
        <w:t>Контрольная работа выбирается по последней цифре зачетки.</w:t>
      </w:r>
    </w:p>
    <w:p w:rsidR="00F30136" w:rsidRPr="00F07428" w:rsidRDefault="00F30136" w:rsidP="005A3D6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Контрольная работа должна быть выполнена следующим образом: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1) написана от руки логически последовательно, грамотно, разборчиво или напечатана;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2) страницы работы должны быть пронумерованы и иметь поля для замечаний преподавателя;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Объем контрольной работы должен составлять 10-12 листов ученической тетради или листов А4. Нарушение указанных требований служит основанием для возврата работы студенту для соответствующей доработки. Контрольная работа должна быть предоставлена в установленный графиком срок.</w:t>
      </w:r>
    </w:p>
    <w:p w:rsidR="00F30136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F30136" w:rsidRPr="00007AA1" w:rsidRDefault="00F30136" w:rsidP="00007AA1">
      <w:pPr>
        <w:ind w:left="-180"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sz w:val="24"/>
          <w:szCs w:val="24"/>
        </w:rPr>
        <w:t>Коллекции и коллекционеры эпохи эллинизма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Феномен коллекционирования; античность; святилище; храм; пинакотека; мусейон; Александрийский мусейон; дактилиотека; камея; гемма.</w:t>
      </w:r>
    </w:p>
    <w:p w:rsidR="00F30136" w:rsidRPr="00007AA1" w:rsidRDefault="00F30136" w:rsidP="00007AA1">
      <w:pPr>
        <w:ind w:left="-180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22-24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Балаш А.Н.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Частное коллекционирование памятников греческого искусства в античном Риме // Музей в современной культуре: Сб. науч. тр. / Санкт-Петербургская Академия культуры. Т. 147. СПб., 1997.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Чистяков Г.П.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Эллинистический мусейон. Александрия, Пергам, Антиохия // Эллинизм: Восток и Запад. М., 1992.</w:t>
      </w:r>
    </w:p>
    <w:p w:rsidR="00F30136" w:rsidRPr="00007AA1" w:rsidRDefault="00F30136" w:rsidP="00007AA1">
      <w:pPr>
        <w:rPr>
          <w:rFonts w:ascii="Times New Roman" w:hAnsi="Times New Roman" w:cs="Times New Roman"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 xml:space="preserve">Средневековый Восток. 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Появление первых коллекций в мусульманском мире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Особенности Восточного средневековья; музей шаха Абдол Азиза; храмовые сокровищницы; дворцы светских владык.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Появление первых коллекций в индо-буддийских странах Востока.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Буддийские монастыри.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lastRenderedPageBreak/>
        <w:t>Литература: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61-68.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Тучков И.И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Классическая традиция и искусство Возрождения. М., 1992.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Средневековая Европа глазами современников и историков: Кн. для чтения в 5 ч. //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Отв. ред. Ястребицкая А.Л.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Ч. 3. Средневековый человек и его мир. М., 1994. 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Пострелова ТА.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Академия живописи в Китае в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вв. М., 1976.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Исторические предпосылки возникновения музеев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Музей как социокультурный институт; поняие «Возрождение»; термин «гуманизм»; географические открытия 15-16 вв.; ренессансные коллекции.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68-74.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Зейдевитц Р., Зейдевшпц М.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Дрезденская галерея. М., 1965.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Зубов В. 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К трехсотлетию Академии опытов во Флоренции (1657—1667) // Вестник мировой культуры. 1957. № 3.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Идеология просветителей и концепция публичного музея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Эпоха «Просвещения»; просветительская идеология; концепция публичного музея; культурное наследие.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126-128.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Калугина Т.П.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Общественное сознание и художественный музей // Музеи мира. Музееведение. М., 1991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Калитина Н.Н.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Великая французская революция и создание национальных художественных музеев Франции. (1789-1799) // Вестник Санкт-Петербургского университета. Сер. 2. 1992. Вып. 2 (№ 9).</w:t>
      </w:r>
    </w:p>
    <w:p w:rsidR="001443C4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Петровская кунсткамера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Дата основания первого российского музея; геодезические и картографические открытия; покупки готовых коллекций; состав музея; отделы музея.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154-162.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Гинзбург В.В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Анатомическая коллекция Рюйша в собраниях Петровской Кунсткамеры // Музей антропологии и этнографии. Сборник. Т.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М.; Л., 1953.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Каспаринская С.А.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Музеи России и влияние государственной политики на их развитие (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— нач.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в.). // Музей и власть. Ч. 1. М., 1991.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Императорский музей Эрмитаж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История создания; основные коллекции; принципы экспонирования живописи.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162-169.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Левинсон-Лессинг В.Ф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История картинной галереи Эрмитажа. Л., 1986.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Овсянникова С.А.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Частное собирательство в России в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— первой половине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века // Очерки истории музейного дела в России. Вып.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., 1961.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Наполеоновские войны и музейное строительство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Исторический очерк; музей Наполеона; пинакотека Брера; Рейксмузеум; Прадо.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173-188.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Валери 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музеев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// Валери П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Об искусстве. М., 1976.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Егорова К.С.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Художественные музеи Голландии. М., 1968.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Зейдевитц Р., Зейдевитц М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Дрезденская галерея. М., 1965.</w:t>
      </w:r>
    </w:p>
    <w:p w:rsidR="00F30136" w:rsidRPr="00007AA1" w:rsidRDefault="00F30136" w:rsidP="00007AA1">
      <w:pPr>
        <w:ind w:left="-540" w:right="-81"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Музеи стран Азии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Музеи Индии; музеи Турции; музеи Японии; музеи Китая.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252-273.</w:t>
      </w:r>
    </w:p>
    <w:p w:rsidR="00F30136" w:rsidRPr="00007AA1" w:rsidRDefault="00F30136" w:rsidP="00007AA1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Сарма И.К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Индия: археологические музеи на месте раскопок и их значение для культурного образования // Международный журнал «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». 1998. № 4 (198).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lastRenderedPageBreak/>
        <w:t>Интегрированный музей и «новая идеология»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Поиски путей обновления музея в 1960-70-е годы; интегрированный музей; экомузей; детский музей.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314-319.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Детские музеи в России и за рубежом. М., 2001 //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Макарова-Таман Н.Г, Медведева Е.Б., Юхневич М.Ю.</w:t>
      </w:r>
    </w:p>
    <w:p w:rsidR="00F30136" w:rsidRPr="00007AA1" w:rsidRDefault="00F30136" w:rsidP="00007AA1">
      <w:pPr>
        <w:numPr>
          <w:ilvl w:val="0"/>
          <w:numId w:val="15"/>
        </w:numPr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Жироди Д.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Детская студия при Национальном центре искусства и культуры имени Жоржа Помпиду. Париж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. 1982. № 3. 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Керьен М.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О природе феномена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1985. № 148.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Коссонс 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Новые тенденции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1983. № 138.</w:t>
      </w:r>
    </w:p>
    <w:p w:rsidR="00F30136" w:rsidRPr="005A3D61" w:rsidRDefault="00F30136" w:rsidP="005A3D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0136" w:rsidRPr="005A3D61" w:rsidSect="005A3D6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396" w:rsidRDefault="004D2396" w:rsidP="005A3D61">
      <w:pPr>
        <w:spacing w:after="0" w:line="240" w:lineRule="auto"/>
      </w:pPr>
      <w:r>
        <w:separator/>
      </w:r>
    </w:p>
  </w:endnote>
  <w:endnote w:type="continuationSeparator" w:id="0">
    <w:p w:rsidR="004D2396" w:rsidRDefault="004D2396" w:rsidP="005A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36" w:rsidRDefault="001443C4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73EA">
      <w:rPr>
        <w:noProof/>
      </w:rPr>
      <w:t>4</w:t>
    </w:r>
    <w:r>
      <w:rPr>
        <w:noProof/>
      </w:rPr>
      <w:fldChar w:fldCharType="end"/>
    </w:r>
  </w:p>
  <w:p w:rsidR="00F30136" w:rsidRDefault="00F301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396" w:rsidRDefault="004D2396" w:rsidP="005A3D61">
      <w:pPr>
        <w:spacing w:after="0" w:line="240" w:lineRule="auto"/>
      </w:pPr>
      <w:r>
        <w:separator/>
      </w:r>
    </w:p>
  </w:footnote>
  <w:footnote w:type="continuationSeparator" w:id="0">
    <w:p w:rsidR="004D2396" w:rsidRDefault="004D2396" w:rsidP="005A3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74A7"/>
    <w:multiLevelType w:val="hybridMultilevel"/>
    <w:tmpl w:val="F0B28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53DF1"/>
    <w:multiLevelType w:val="hybridMultilevel"/>
    <w:tmpl w:val="F2007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B3291"/>
    <w:multiLevelType w:val="hybridMultilevel"/>
    <w:tmpl w:val="62722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4" w:hanging="360"/>
      </w:pPr>
    </w:lvl>
    <w:lvl w:ilvl="2" w:tplc="0419001B">
      <w:start w:val="1"/>
      <w:numFmt w:val="lowerRoman"/>
      <w:lvlText w:val="%3."/>
      <w:lvlJc w:val="right"/>
      <w:pPr>
        <w:ind w:left="2114" w:hanging="180"/>
      </w:pPr>
    </w:lvl>
    <w:lvl w:ilvl="3" w:tplc="0419000F">
      <w:start w:val="1"/>
      <w:numFmt w:val="decimal"/>
      <w:lvlText w:val="%4."/>
      <w:lvlJc w:val="left"/>
      <w:pPr>
        <w:ind w:left="2834" w:hanging="360"/>
      </w:pPr>
    </w:lvl>
    <w:lvl w:ilvl="4" w:tplc="04190019">
      <w:start w:val="1"/>
      <w:numFmt w:val="lowerLetter"/>
      <w:lvlText w:val="%5."/>
      <w:lvlJc w:val="left"/>
      <w:pPr>
        <w:ind w:left="3554" w:hanging="360"/>
      </w:pPr>
    </w:lvl>
    <w:lvl w:ilvl="5" w:tplc="0419001B">
      <w:start w:val="1"/>
      <w:numFmt w:val="lowerRoman"/>
      <w:lvlText w:val="%6."/>
      <w:lvlJc w:val="right"/>
      <w:pPr>
        <w:ind w:left="4274" w:hanging="180"/>
      </w:pPr>
    </w:lvl>
    <w:lvl w:ilvl="6" w:tplc="0419000F">
      <w:start w:val="1"/>
      <w:numFmt w:val="decimal"/>
      <w:lvlText w:val="%7."/>
      <w:lvlJc w:val="left"/>
      <w:pPr>
        <w:ind w:left="4994" w:hanging="360"/>
      </w:pPr>
    </w:lvl>
    <w:lvl w:ilvl="7" w:tplc="04190019">
      <w:start w:val="1"/>
      <w:numFmt w:val="lowerLetter"/>
      <w:lvlText w:val="%8."/>
      <w:lvlJc w:val="left"/>
      <w:pPr>
        <w:ind w:left="5714" w:hanging="360"/>
      </w:pPr>
    </w:lvl>
    <w:lvl w:ilvl="8" w:tplc="0419001B">
      <w:start w:val="1"/>
      <w:numFmt w:val="lowerRoman"/>
      <w:lvlText w:val="%9."/>
      <w:lvlJc w:val="right"/>
      <w:pPr>
        <w:ind w:left="6434" w:hanging="180"/>
      </w:pPr>
    </w:lvl>
  </w:abstractNum>
  <w:abstractNum w:abstractNumId="4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E006E"/>
    <w:multiLevelType w:val="hybridMultilevel"/>
    <w:tmpl w:val="44944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C3F37"/>
    <w:multiLevelType w:val="hybridMultilevel"/>
    <w:tmpl w:val="B6020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CC7825"/>
    <w:multiLevelType w:val="hybridMultilevel"/>
    <w:tmpl w:val="676CF122"/>
    <w:lvl w:ilvl="0" w:tplc="8C4A8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8B308B9"/>
    <w:multiLevelType w:val="hybridMultilevel"/>
    <w:tmpl w:val="8A685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0B0130"/>
    <w:multiLevelType w:val="hybridMultilevel"/>
    <w:tmpl w:val="5E8EE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A810C2"/>
    <w:multiLevelType w:val="hybridMultilevel"/>
    <w:tmpl w:val="26747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140CC8"/>
    <w:multiLevelType w:val="hybridMultilevel"/>
    <w:tmpl w:val="313A0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8050BF"/>
    <w:multiLevelType w:val="hybridMultilevel"/>
    <w:tmpl w:val="8A961668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8F6"/>
    <w:rsid w:val="00007AA1"/>
    <w:rsid w:val="00047581"/>
    <w:rsid w:val="000B3C26"/>
    <w:rsid w:val="000E275C"/>
    <w:rsid w:val="001443C4"/>
    <w:rsid w:val="00165BA8"/>
    <w:rsid w:val="002573EA"/>
    <w:rsid w:val="00277AC2"/>
    <w:rsid w:val="002861B1"/>
    <w:rsid w:val="0029478D"/>
    <w:rsid w:val="00313A8B"/>
    <w:rsid w:val="003A5C06"/>
    <w:rsid w:val="00460072"/>
    <w:rsid w:val="004D2396"/>
    <w:rsid w:val="00520B22"/>
    <w:rsid w:val="00525228"/>
    <w:rsid w:val="005A3D61"/>
    <w:rsid w:val="005B5BFF"/>
    <w:rsid w:val="005E5CE0"/>
    <w:rsid w:val="006140DF"/>
    <w:rsid w:val="007033F1"/>
    <w:rsid w:val="0072552A"/>
    <w:rsid w:val="007F5E1B"/>
    <w:rsid w:val="008179E3"/>
    <w:rsid w:val="008338F6"/>
    <w:rsid w:val="009617E0"/>
    <w:rsid w:val="00A20BC7"/>
    <w:rsid w:val="00AB3671"/>
    <w:rsid w:val="00AB5AC7"/>
    <w:rsid w:val="00AE1C84"/>
    <w:rsid w:val="00B1012E"/>
    <w:rsid w:val="00B96EDD"/>
    <w:rsid w:val="00C302E4"/>
    <w:rsid w:val="00C735C6"/>
    <w:rsid w:val="00C7496A"/>
    <w:rsid w:val="00C92FD0"/>
    <w:rsid w:val="00C9528E"/>
    <w:rsid w:val="00D47C64"/>
    <w:rsid w:val="00D77A09"/>
    <w:rsid w:val="00E32405"/>
    <w:rsid w:val="00E45DBC"/>
    <w:rsid w:val="00E543F0"/>
    <w:rsid w:val="00E90D7A"/>
    <w:rsid w:val="00E954D6"/>
    <w:rsid w:val="00F07428"/>
    <w:rsid w:val="00F241C8"/>
    <w:rsid w:val="00F30136"/>
    <w:rsid w:val="00F665F7"/>
    <w:rsid w:val="00F95D1B"/>
    <w:rsid w:val="00FC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F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38F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25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5252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5B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BF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uiPriority w:val="99"/>
    <w:rsid w:val="005A3D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semiHidden/>
    <w:rsid w:val="005A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5A3D61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rsid w:val="005A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A3D6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923</Words>
  <Characters>5262</Characters>
  <Application>Microsoft Office Word</Application>
  <DocSecurity>0</DocSecurity>
  <Lines>43</Lines>
  <Paragraphs>12</Paragraphs>
  <ScaleCrop>false</ScaleCrop>
  <Company>www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Work</cp:lastModifiedBy>
  <cp:revision>29</cp:revision>
  <cp:lastPrinted>2014-07-14T12:23:00Z</cp:lastPrinted>
  <dcterms:created xsi:type="dcterms:W3CDTF">2013-10-07T10:56:00Z</dcterms:created>
  <dcterms:modified xsi:type="dcterms:W3CDTF">2024-08-22T08:44:00Z</dcterms:modified>
</cp:coreProperties>
</file>